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ПРАВИЛА ПЕРЕВОЗКИ ЛИЧНЫХ ВЕЩЕЙ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В Калининградскую область паромом Усть-Луга — Балтийск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1. Что перевозим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Личные вещи, мебель, бытовую технику, инструмент, детские вещи, книги — всё, что относится к домашнему имуществу.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Груз принимается по описи имущества, подписанной отправителем. Опись — основной документ при досмотре и при разборе претензий.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Коммерческие партии товара по этим правилам не перевозятся: для них оформляется отдельный договор и другой пакет документов.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2. Что перевозить нельзя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Алкоголь и табачные изделия в любом количестве.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Продукты питания и лекарства от физических лиц.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Шины, бывшие в употреблении.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Оружие, боеприпасы, взрывчатые вещества и пиротехнику.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Легковоспламеняющиеся жидкости, газовые баллоны, аэрозоли под давлением, кислоты и ядовитые вещества.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Живые растения и животных.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Наличные деньги, банковские карты, ювелирные изделия, ценные бумаги, оригиналы документов.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Предметы, запрещённые к перемещению законодательством Российской Федерации.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3. Упаковка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Принимаются картонные коробки, спортивные (челночные) сумки и чемоданы весом от 5 до 30 кг.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Мебель сдаётся в разобранном виде, обмотанной стрейч-плёнкой и картоном.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Техника — в заводской коробке либо в картонной защите. Зеркала и стекло — в плотной обмотке или обрешётке.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Мешки, тюки и открытые корзины перевалку в порту не выдерживают — такие места перевозчик переупаковывает при погрузке.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На каждом месте указываются номер по описи и ФИО получателя.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Упаковку можно заказать у перевозчика — она оплачивается отдельно по действующему тарифу.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4. Таможенное оформление и досмотр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Груз в Калининградскую область следует паромом Усть-Луга — Балтийск и проходит таможенное оформление.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Таможенное оформление перевозчик берёт на себя. От отправителя требуются: копия паспорта, опись имущества, заявление на перевозку и подписанные настоящие правила.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Места могут быть вскрыты для таможенного досмотра. После осмотра они запаковываются силами перевозчика и помечаются отметкой о вскрытии.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Расхождение фактического груза с описью может привести к задержке отправки. Расходы, вызванные недостоверными сведениями в описи, несёт отправитель.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5. Сроки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Место на пароме бронируется заранее: заявка подаётся за 5–7 дней до отправления.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Ориентировочный срок плеча Москва — Калининград составляет 7–14 дней и зависит от расписания и загруженности парома.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Если груз забирается не в Москве, к сроку добавляется время доставки до Москвы — оно рассчитывается отдельно и сообщается при оформлении.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Срок не является жёстким обязательством: задержки, вызванные погодой, расписанием парома, действиями таможенных органов и иными обстоятельствами вне контроля перевозчика, не считаются нарушением.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6. Ответственность и страхование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Груз застрахован на сумму до 1 000 000 ₽. Возмещение считается от стоимости, заявленной отправителем в описи.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Повреждения и недостача фиксируются при выгрузке, до подписания документов о приёмке. После подписания без замечаний претензии по внешнему состоянию не принимаются.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Перевозчик не отвечает за естественный износ вещей, за повреждения, вызванные неправильной упаковкой отправителя, и за предметы, запрещённые к перевозке и не заявленные в описи.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7. Оплата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Оплата производится двумя частями: 50% при погрузке и 50% после выгрузки, когда получатель проверил груз.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Предоплата до подачи машины не берётся.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Стоимость фиксируется в договоре после уточнения объёма по описи и далее не изменяется, если объём и условия не изменил сам отправитель.</w:t>
      </w:r>
    </w:p>
    <w:p>
      <w:pPr>
        <w:spacing w:before="160" w:after="100" w:line="240" w:lineRule="auto"/>
        <w:jc w:val="left"/>
      </w:pPr>
      <w:r>
        <w:rPr>
          <w:b/>
          <w:sz w:val="20"/>
          <w:szCs w:val="20"/>
        </w:rPr>
        <w:t xml:space="preserve">8. Приёмка груза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Получатель проверяет количество мест и внешнее состояние упаковки при выгрузке.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Обнаруженные повреждения или недостача фиксируются в акте в присутствии представителя перевозчика.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•  Акт и опись — основание для обращения по страховке. Без них разбор претензии затруднён.</w:t>
      </w:r>
    </w:p>
    <w:p>
      <w:pPr>
        <w:spacing w:before="280" w:after="200" w:line="240" w:lineRule="auto"/>
        <w:jc w:val="left"/>
      </w:pPr>
      <w:r>
        <w:rPr>
          <w:b/>
          <w:sz w:val="20"/>
          <w:szCs w:val="20"/>
        </w:rPr>
        <w:t xml:space="preserve">С правилами перевозки ознакомлен(а) и согласен(на):</w:t>
      </w:r>
    </w:p>
    <w:p>
      <w:pPr>
        <w:spacing w:before="0" w:after="280" w:line="240" w:lineRule="auto"/>
        <w:jc w:val="left"/>
      </w:pPr>
      <w:r>
        <w:rPr>
          <w:b/>
          <w:sz w:val="20"/>
          <w:szCs w:val="20"/>
        </w:rPr>
        <w:t xml:space="preserve">Дата: </w:t>
      </w:r>
      <w:r>
        <w:rPr>
          <w:u w:val="single"/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Подпись / расшифровка: </w:t>
      </w:r>
      <w:r>
        <w:rPr>
          <w:u w:val="single"/>
          <w:sz w:val="20"/>
          <w:szCs w:val="20"/>
        </w:rPr>
        <w:t xml:space="preserve">                                  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Правила составляются в двух экземплярах и подписываются отправителем до погрузки. Один экземпляр остаётся у отправителя. Правила действуют вместе с договором-заявкой и описью имущества.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