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40" w:line="240" w:lineRule="auto"/>
        <w:jc w:val="left"/>
      </w:pPr>
      <w:r>
        <w:rPr>
          <w:b/>
          <w:sz w:val="28"/>
          <w:szCs w:val="28"/>
        </w:rPr>
        <w:t xml:space="preserve">ТК-ЭДЕЛИС</w:t>
      </w:r>
    </w:p>
    <w:p>
      <w:pPr>
        <w:spacing w:before="0" w:after="240" w:line="240" w:lineRule="auto"/>
        <w:jc w:val="left"/>
      </w:pPr>
      <w:r>
        <w:rPr>
          <w:sz w:val="18"/>
          <w:szCs w:val="18"/>
          <w:color w:val="595959"/>
        </w:rPr>
        <w:t xml:space="preserve">Перевозка вещей по всей России с 2016 года  ·  8 (800) 200-03-96  ·  tk-edelis.com</w:t>
      </w:r>
    </w:p>
    <w:p>
      <w:pPr>
        <w:spacing w:before="0" w:after="80" w:line="240" w:lineRule="auto"/>
        <w:jc w:val="center"/>
      </w:pPr>
      <w:r>
        <w:rPr>
          <w:b/>
          <w:sz w:val="32"/>
          <w:szCs w:val="32"/>
        </w:rPr>
        <w:t xml:space="preserve">ОПИСЬ ИМУЩЕСТВА ДЛЯ ПЕРЕВОЗКИ В КАЛИНИНГРАД</w:t>
      </w:r>
    </w:p>
    <w:p>
      <w:pPr>
        <w:spacing w:before="0" w:after="280" w:line="240" w:lineRule="auto"/>
        <w:jc w:val="center"/>
      </w:pPr>
      <w:r>
        <w:rPr>
          <w:sz w:val="18"/>
          <w:szCs w:val="18"/>
          <w:color w:val="595959"/>
        </w:rPr>
        <w:t xml:space="preserve">Заполните до погрузки. По описи груз проходит таможенное оформление и досмотр.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Отправитель (ФИО полностью): </w:t>
      </w:r>
      <w:r>
        <w:rPr>
          <w:u w:val="single"/>
          <w:sz w:val="20"/>
          <w:szCs w:val="20"/>
        </w:rPr>
        <w:t xml:space="preserve">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Паспорт: серия, номер, кем и когда выдан: </w:t>
      </w:r>
      <w:r>
        <w:rPr>
          <w:u w:val="single"/>
          <w:sz w:val="20"/>
          <w:szCs w:val="20"/>
        </w:rPr>
        <w:t xml:space="preserve">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Адрес отправления: </w:t>
      </w:r>
      <w:r>
        <w:rPr>
          <w:u w:val="single"/>
          <w:sz w:val="20"/>
          <w:szCs w:val="20"/>
        </w:rPr>
        <w:t xml:space="preserve">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Телефон отправителя: </w:t>
      </w:r>
      <w:r>
        <w:rPr>
          <w:u w:val="single"/>
          <w:sz w:val="20"/>
          <w:szCs w:val="20"/>
        </w:rPr>
        <w:t xml:space="preserve">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Получатель (ФИО полностью): </w:t>
      </w:r>
      <w:r>
        <w:rPr>
          <w:u w:val="single"/>
          <w:sz w:val="20"/>
          <w:szCs w:val="20"/>
        </w:rPr>
        <w:t xml:space="preserve">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Адрес доставки в Калининградской области: </w:t>
      </w:r>
      <w:r>
        <w:rPr>
          <w:u w:val="single"/>
          <w:sz w:val="20"/>
          <w:szCs w:val="20"/>
        </w:rPr>
        <w:t xml:space="preserve">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Телефон получателя: </w:t>
      </w:r>
      <w:r>
        <w:rPr>
          <w:u w:val="single"/>
          <w:sz w:val="20"/>
          <w:szCs w:val="20"/>
        </w:rPr>
        <w:t xml:space="preserve">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Дата отправки: </w:t>
      </w:r>
      <w:r>
        <w:rPr>
          <w:u w:val="single"/>
          <w:sz w:val="20"/>
          <w:szCs w:val="20"/>
        </w:rPr>
        <w:t xml:space="preserve">                                                            </w:t>
      </w:r>
    </w:p>
    <w:p>
      <w:pPr>
        <w:spacing w:before="160" w:after="100" w:line="240" w:lineRule="auto"/>
        <w:jc w:val="left"/>
      </w:pPr>
      <w:r>
        <w:rPr>
          <w:b/>
          <w:sz w:val="20"/>
          <w:szCs w:val="20"/>
        </w:rPr>
        <w:t xml:space="preserve">Как заполнять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Заполните три экземпляра: один остаётся у вас, второй едет с грузом, третий уходит в документы на паром.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Без исправлений и зачёркиваний. Ошиблись — перепишите лист заново: исправленная опись на таможне не принимается.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Каждый предмет — отдельной строкой и своим именем: «Рубашка мужская», а не «одежда»; «Кастрюля 3 л», а не «посуда».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Содержимое коробки расписывается построчно с указанием номера коробки — обобщать нельзя.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Номер строки в описи должен совпадать с номером, написанным на коробке.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Стоимость — реальная, за сколько вещь можно купить сегодня в таком же состоянии.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900"/>
        <w:gridCol w:w="3200"/>
        <w:gridCol w:w="700"/>
        <w:gridCol w:w="800"/>
        <w:gridCol w:w="900"/>
        <w:gridCol w:w="1600"/>
        <w:gridCol w:w="2672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№ места</w:t>
            </w:r>
          </w:p>
        </w:tc>
        <w:tc>
          <w:tcPr>
            <w:tcW w:w="32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Наименование (характер груза)</w:t>
            </w:r>
          </w:p>
        </w:tc>
        <w:tc>
          <w:tcPr>
            <w:tcW w:w="7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Кол-во</w:t>
            </w:r>
          </w:p>
        </w:tc>
        <w:tc>
          <w:tcPr>
            <w:tcW w:w="8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Вес, кг</w:t>
            </w:r>
          </w:p>
        </w:tc>
        <w:tc>
          <w:tcPr>
            <w:tcW w:w="9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Объём, м³</w:t>
            </w:r>
          </w:p>
        </w:tc>
        <w:tc>
          <w:tcPr>
            <w:tcW w:w="16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Оценочная стоимость, ₽</w:t>
            </w:r>
          </w:p>
        </w:tc>
        <w:tc>
          <w:tcPr>
            <w:tcW w:w="2672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Примечание (состояние)</w:t>
            </w:r>
          </w:p>
        </w:tc>
      </w:tr>
      <w:tr>
        <w:trPr/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Коробка №1</w:t>
            </w:r>
          </w:p>
        </w:tc>
        <w:tc>
          <w:tcPr>
            <w:tcW w:w="32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Личные вещи: одежда, обувь зимняя — 15 шт.</w:t>
            </w: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</w:t>
            </w:r>
          </w:p>
        </w:tc>
        <w:tc>
          <w:tcPr>
            <w:tcW w:w="8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18</w:t>
            </w: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0,12</w:t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3 000</w:t>
            </w:r>
          </w:p>
        </w:tc>
        <w:tc>
          <w:tcPr>
            <w:tcW w:w="26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Б/у, со следами носки</w:t>
            </w:r>
          </w:p>
        </w:tc>
      </w:tr>
      <w:tr>
        <w:trPr/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Коробка №2</w:t>
            </w:r>
          </w:p>
        </w:tc>
        <w:tc>
          <w:tcPr>
            <w:tcW w:w="32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Посуда кухонная: кастрюли, тарелки — 1 комплект</w:t>
            </w: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</w:t>
            </w:r>
          </w:p>
        </w:tc>
        <w:tc>
          <w:tcPr>
            <w:tcW w:w="8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7</w:t>
            </w: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0,08</w:t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1 500</w:t>
            </w:r>
          </w:p>
        </w:tc>
        <w:tc>
          <w:tcPr>
            <w:tcW w:w="26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Б/у, без упаковок</w:t>
            </w:r>
          </w:p>
        </w:tc>
      </w:tr>
      <w:tr>
        <w:trPr/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Место №3</w:t>
            </w:r>
          </w:p>
        </w:tc>
        <w:tc>
          <w:tcPr>
            <w:tcW w:w="32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Телевизор Samsung — 1 шт.</w:t>
            </w: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</w:t>
            </w:r>
          </w:p>
        </w:tc>
        <w:tc>
          <w:tcPr>
            <w:tcW w:w="8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12</w:t>
            </w: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0,10</w:t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6 000</w:t>
            </w:r>
          </w:p>
        </w:tc>
        <w:tc>
          <w:tcPr>
            <w:tcW w:w="26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Б/у, без коробки</w:t>
            </w:r>
          </w:p>
        </w:tc>
      </w:tr>
      <w:tr>
        <w:trPr/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Место №4</w:t>
            </w:r>
          </w:p>
        </w:tc>
        <w:tc>
          <w:tcPr>
            <w:tcW w:w="32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Шкаф деревянный, в разобранном виде</w:t>
            </w: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</w:t>
            </w:r>
          </w:p>
        </w:tc>
        <w:tc>
          <w:tcPr>
            <w:tcW w:w="8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45</w:t>
            </w: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0,60</w:t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4 000</w:t>
            </w:r>
          </w:p>
        </w:tc>
        <w:tc>
          <w:tcPr>
            <w:tcW w:w="26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Б/у, потёртости на дверце</w:t>
            </w:r>
          </w:p>
        </w:tc>
      </w:tr>
      <w:tr>
        <w:trPr>
          <w:trHeight w:val="400"/>
        </w:trPr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2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8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6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2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8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6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2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8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6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2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8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6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2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8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6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2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8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6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2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8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6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2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8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6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2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8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6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2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8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6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2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8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6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2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8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6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2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8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6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2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8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6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2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8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6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2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8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6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2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8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6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2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8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6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2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8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6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2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7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8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2672" w:type="dxa"/>
            <w:vAlign w:val="center"/>
          </w:tcPr>
          <w:p>
            <w:pPr>
              <w:spacing w:before="40" w:after="40"/>
              <w:jc w:val="left"/>
            </w:pPr>
          </w:p>
        </w:tc>
      </w:tr>
    </w:tbl>
    <w:p>
      <w:pPr>
        <w:spacing w:before="240" w:after="140" w:line="240" w:lineRule="auto"/>
        <w:jc w:val="left"/>
      </w:pPr>
      <w:r>
        <w:rPr>
          <w:b/>
          <w:sz w:val="20"/>
          <w:szCs w:val="20"/>
        </w:rPr>
        <w:t xml:space="preserve">Всего мест: </w:t>
      </w:r>
      <w:r>
        <w:rPr>
          <w:u w:val="single"/>
          <w:sz w:val="20"/>
          <w:szCs w:val="20"/>
        </w:rPr>
        <w:t xml:space="preserve">              </w:t>
      </w:r>
      <w:r>
        <w:rPr>
          <w:sz w:val="20"/>
          <w:szCs w:val="20"/>
        </w:rPr>
        <w:t xml:space="preserve">     Общий вес, кг: </w:t>
      </w:r>
      <w:r>
        <w:rPr>
          <w:u w:val="single"/>
          <w:sz w:val="20"/>
          <w:szCs w:val="20"/>
        </w:rPr>
        <w:t xml:space="preserve">              </w:t>
      </w:r>
    </w:p>
    <w:p>
      <w:pPr>
        <w:spacing w:before="0" w:after="360" w:line="240" w:lineRule="auto"/>
        <w:jc w:val="left"/>
      </w:pPr>
      <w:r>
        <w:rPr>
          <w:b/>
          <w:sz w:val="20"/>
          <w:szCs w:val="20"/>
        </w:rPr>
        <w:t xml:space="preserve">Общий объём, м³: </w:t>
      </w:r>
      <w:r>
        <w:rPr>
          <w:u w:val="single"/>
          <w:sz w:val="20"/>
          <w:szCs w:val="20"/>
        </w:rPr>
        <w:t xml:space="preserve">              </w:t>
      </w:r>
      <w:r>
        <w:rPr>
          <w:sz w:val="20"/>
          <w:szCs w:val="20"/>
        </w:rPr>
        <w:t xml:space="preserve">     Общая стоимость, ₽: </w:t>
      </w:r>
      <w:r>
        <w:rPr>
          <w:u w:val="single"/>
          <w:sz w:val="20"/>
          <w:szCs w:val="20"/>
        </w:rPr>
        <w:t xml:space="preserve">                    </w:t>
      </w:r>
    </w:p>
    <w:p>
      <w:pPr>
        <w:spacing w:before="0" w:after="60" w:line="240" w:lineRule="auto"/>
        <w:jc w:val="left"/>
      </w:pPr>
      <w:r>
        <w:rPr>
          <w:b/>
          <w:sz w:val="20"/>
          <w:szCs w:val="20"/>
        </w:rPr>
        <w:t xml:space="preserve">Отправитель: </w:t>
      </w:r>
      <w:r>
        <w:rPr>
          <w:u w:val="single"/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 xml:space="preserve">  /  </w:t>
      </w:r>
      <w:r>
        <w:rPr>
          <w:u w:val="single"/>
          <w:sz w:val="20"/>
          <w:szCs w:val="20"/>
        </w:rPr>
        <w:t xml:space="preserve">                                        </w:t>
      </w:r>
    </w:p>
    <w:p>
      <w:pPr>
        <w:spacing w:before="0" w:after="280" w:line="240" w:lineRule="auto"/>
        <w:jc w:val="left"/>
      </w:pPr>
      <w:r>
        <w:rPr>
          <w:sz w:val="16"/>
          <w:szCs w:val="16"/>
          <w:color w:val="808080"/>
        </w:rPr>
        <w:t xml:space="preserve">подпись, расшифровка</w:t>
      </w:r>
    </w:p>
    <w:p>
      <w:pPr>
        <w:spacing w:before="0" w:after="60" w:line="240" w:lineRule="auto"/>
        <w:jc w:val="left"/>
      </w:pPr>
      <w:r>
        <w:rPr>
          <w:b/>
          <w:sz w:val="20"/>
          <w:szCs w:val="20"/>
        </w:rPr>
        <w:t xml:space="preserve">Представитель перевозчика: </w:t>
      </w:r>
      <w:r>
        <w:rPr>
          <w:u w:val="single"/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 xml:space="preserve">  /  </w:t>
      </w:r>
      <w:r>
        <w:rPr>
          <w:u w:val="single"/>
          <w:sz w:val="20"/>
          <w:szCs w:val="20"/>
        </w:rPr>
        <w:t xml:space="preserve">                                        </w:t>
      </w:r>
    </w:p>
    <w:p>
      <w:pPr>
        <w:spacing w:before="0" w:after="280" w:line="240" w:lineRule="auto"/>
        <w:jc w:val="left"/>
      </w:pPr>
      <w:r>
        <w:rPr>
          <w:sz w:val="16"/>
          <w:szCs w:val="16"/>
          <w:color w:val="808080"/>
        </w:rPr>
        <w:t xml:space="preserve">подпись, расшифровка</w:t>
      </w:r>
    </w:p>
    <w:p>
      <w:pPr>
        <w:spacing w:before="0" w:after="120" w:line="240" w:lineRule="auto"/>
        <w:jc w:val="left"/>
      </w:pPr>
      <w:r>
        <w:rPr>
          <w:sz w:val="16"/>
          <w:szCs w:val="16"/>
          <w:color w:val="595959"/>
        </w:rPr>
        <w:t xml:space="preserve">Опись составляется в трёх экземплярах, без исправлений. При таможенном досмотре места могут быть вскрыты для проверки содержимого — после осмотра они запаковываются и помечаются. Расхождение груза с описью задерживает отправку.</w:t>
      </w:r>
    </w:p>
    <w:sectPr>
      <w:pgSz w:w="11906" w:h="16838"/>
      <w:pgMar w:top="567" w:right="567" w:bottom="567" w:left="56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/Relationships>
</file>